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FADD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 w14:paraId="630AC74D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嘉兴市市政行业</w:t>
      </w:r>
      <w:r>
        <w:rPr>
          <w:rFonts w:hint="eastAsia" w:ascii="宋体" w:hAnsi="宋体"/>
          <w:b/>
          <w:sz w:val="36"/>
          <w:szCs w:val="36"/>
          <w:lang w:eastAsia="zh-CN"/>
        </w:rPr>
        <w:t>优秀会员单位</w:t>
      </w:r>
      <w:r>
        <w:rPr>
          <w:rFonts w:hint="eastAsia" w:ascii="宋体" w:hAnsi="宋体"/>
          <w:b/>
          <w:sz w:val="36"/>
          <w:szCs w:val="36"/>
        </w:rPr>
        <w:t>主要经营管理指标统计表</w:t>
      </w:r>
      <w:r>
        <w:rPr>
          <w:rFonts w:hint="eastAsia" w:ascii="宋体" w:hAnsi="宋体"/>
          <w:b/>
          <w:sz w:val="44"/>
          <w:szCs w:val="44"/>
        </w:rPr>
        <w:t xml:space="preserve">   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41"/>
        <w:gridCol w:w="1134"/>
        <w:gridCol w:w="1559"/>
        <w:gridCol w:w="1701"/>
        <w:gridCol w:w="1559"/>
        <w:gridCol w:w="5245"/>
      </w:tblGrid>
      <w:tr w14:paraId="73DE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noWrap w:val="0"/>
            <w:vAlign w:val="center"/>
          </w:tcPr>
          <w:p w14:paraId="2C966B92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541" w:type="dxa"/>
            <w:noWrap w:val="0"/>
            <w:vAlign w:val="center"/>
          </w:tcPr>
          <w:p w14:paraId="7635C1B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     目</w:t>
            </w:r>
          </w:p>
        </w:tc>
        <w:tc>
          <w:tcPr>
            <w:tcW w:w="1134" w:type="dxa"/>
            <w:noWrap w:val="0"/>
            <w:vAlign w:val="center"/>
          </w:tcPr>
          <w:p w14:paraId="2FFB4FF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</w:t>
            </w:r>
          </w:p>
        </w:tc>
        <w:tc>
          <w:tcPr>
            <w:tcW w:w="1559" w:type="dxa"/>
            <w:noWrap w:val="0"/>
            <w:vAlign w:val="center"/>
          </w:tcPr>
          <w:p w14:paraId="00583C3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701" w:type="dxa"/>
            <w:noWrap w:val="0"/>
            <w:vAlign w:val="center"/>
          </w:tcPr>
          <w:p w14:paraId="348E93E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59" w:type="dxa"/>
            <w:noWrap w:val="0"/>
            <w:vAlign w:val="center"/>
          </w:tcPr>
          <w:p w14:paraId="33790F6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 w14:paraId="193CED22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企业年度总产值；</w:t>
            </w:r>
          </w:p>
          <w:p w14:paraId="411FE845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2.产值利润率=总利润/总产值×100%；</w:t>
            </w:r>
          </w:p>
          <w:p w14:paraId="5C96296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产</w:t>
            </w:r>
            <w:r>
              <w:rPr>
                <w:rFonts w:hint="eastAsia" w:ascii="宋体" w:hAnsi="宋体"/>
                <w:sz w:val="24"/>
              </w:rPr>
              <w:t>值利税率=总利税/总产值×100%；</w:t>
            </w:r>
          </w:p>
          <w:p w14:paraId="7BAAFD59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4.资本保值增值率=报告期期末所有者权益/上年同期期末所有者权益×100%；</w:t>
            </w:r>
          </w:p>
          <w:p w14:paraId="467E16E4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5.社会贡献率=企业社会贡献总额/平均资产总额×100%；</w:t>
            </w:r>
          </w:p>
          <w:p w14:paraId="08F8EFE2"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6.千人负伤率=（全年重伤人数+轻伤人数）/全部职工人数×‰；</w:t>
            </w:r>
          </w:p>
          <w:p w14:paraId="5E563E28"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7.资本金利润率=利润额/资本总额×100%；</w:t>
            </w:r>
          </w:p>
          <w:p w14:paraId="130A332E"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8.成本费用利润率=利润总额/成本费用总额×100%。</w:t>
            </w:r>
          </w:p>
          <w:p w14:paraId="71D28EC7"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00DFFC61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12F61F26">
            <w:pPr>
              <w:spacing w:line="360" w:lineRule="exac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注</w:t>
            </w:r>
            <w:r>
              <w:rPr>
                <w:rFonts w:hint="eastAsia" w:eastAsia="仿宋_GB2312"/>
                <w:b/>
                <w:bCs/>
                <w:sz w:val="24"/>
              </w:rPr>
              <w:t>：企业社会贡献总额：包括工资（含奖金、津贴等工资性收入）、劳保退休统筹及其他社会福利支出、利息支出净额、应交增值税、应交产品销售税金及附加、应交所得税、其他税收、净利润等</w:t>
            </w:r>
          </w:p>
        </w:tc>
      </w:tr>
      <w:tr w14:paraId="6A30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4FEA5FC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 w14:paraId="429E20DC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总产值</w:t>
            </w:r>
          </w:p>
        </w:tc>
        <w:tc>
          <w:tcPr>
            <w:tcW w:w="1134" w:type="dxa"/>
            <w:noWrap w:val="0"/>
            <w:vAlign w:val="center"/>
          </w:tcPr>
          <w:p w14:paraId="5E59572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亿元</w:t>
            </w:r>
          </w:p>
        </w:tc>
        <w:tc>
          <w:tcPr>
            <w:tcW w:w="1559" w:type="dxa"/>
            <w:noWrap w:val="0"/>
            <w:vAlign w:val="center"/>
          </w:tcPr>
          <w:p w14:paraId="3333C1A6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D1C89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AC91F2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70F051D7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232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27F4060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541" w:type="dxa"/>
            <w:noWrap w:val="0"/>
            <w:vAlign w:val="center"/>
          </w:tcPr>
          <w:p w14:paraId="69DE5FF5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产值利润率</w:t>
            </w:r>
          </w:p>
        </w:tc>
        <w:tc>
          <w:tcPr>
            <w:tcW w:w="1134" w:type="dxa"/>
            <w:noWrap w:val="0"/>
            <w:vAlign w:val="center"/>
          </w:tcPr>
          <w:p w14:paraId="0CFD972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170A15F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B4829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87201CB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64AA8D5C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D4B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0D50D56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541" w:type="dxa"/>
            <w:noWrap w:val="0"/>
            <w:vAlign w:val="center"/>
          </w:tcPr>
          <w:p w14:paraId="2B41A225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产值利税率</w:t>
            </w:r>
          </w:p>
        </w:tc>
        <w:tc>
          <w:tcPr>
            <w:tcW w:w="1134" w:type="dxa"/>
            <w:noWrap w:val="0"/>
            <w:vAlign w:val="center"/>
          </w:tcPr>
          <w:p w14:paraId="47D2569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5344729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6CE02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F2CDC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688E295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EC4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18A56EE2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541" w:type="dxa"/>
            <w:noWrap w:val="0"/>
            <w:vAlign w:val="center"/>
          </w:tcPr>
          <w:p w14:paraId="419A282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资本金利润率</w:t>
            </w:r>
          </w:p>
        </w:tc>
        <w:tc>
          <w:tcPr>
            <w:tcW w:w="1134" w:type="dxa"/>
            <w:noWrap w:val="0"/>
            <w:vAlign w:val="center"/>
          </w:tcPr>
          <w:p w14:paraId="4F07026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59B2E3C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F6E81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9C9E340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35BF9C90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E1A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5D6A54A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541" w:type="dxa"/>
            <w:noWrap w:val="0"/>
            <w:vAlign w:val="center"/>
          </w:tcPr>
          <w:p w14:paraId="359C20DC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社会贡献率</w:t>
            </w:r>
          </w:p>
        </w:tc>
        <w:tc>
          <w:tcPr>
            <w:tcW w:w="1134" w:type="dxa"/>
            <w:noWrap w:val="0"/>
            <w:vAlign w:val="center"/>
          </w:tcPr>
          <w:p w14:paraId="7805EC9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4941F59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CCAFCB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B7811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6629C8A9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7E4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3F4DC32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541" w:type="dxa"/>
            <w:noWrap w:val="0"/>
            <w:vAlign w:val="center"/>
          </w:tcPr>
          <w:p w14:paraId="7A7622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千人负伤率</w:t>
            </w:r>
          </w:p>
        </w:tc>
        <w:tc>
          <w:tcPr>
            <w:tcW w:w="1134" w:type="dxa"/>
            <w:noWrap w:val="0"/>
            <w:vAlign w:val="center"/>
          </w:tcPr>
          <w:p w14:paraId="588E18F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‰</w:t>
            </w:r>
          </w:p>
        </w:tc>
        <w:tc>
          <w:tcPr>
            <w:tcW w:w="1559" w:type="dxa"/>
            <w:noWrap w:val="0"/>
            <w:vAlign w:val="center"/>
          </w:tcPr>
          <w:p w14:paraId="5CEB262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B81E9D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FA8253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3988ECEC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9F2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28" w:type="dxa"/>
            <w:noWrap w:val="0"/>
            <w:vAlign w:val="center"/>
          </w:tcPr>
          <w:p w14:paraId="15BB7FB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541" w:type="dxa"/>
            <w:noWrap w:val="0"/>
            <w:vAlign w:val="center"/>
          </w:tcPr>
          <w:p w14:paraId="0983EA7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资本保值增值率</w:t>
            </w:r>
          </w:p>
        </w:tc>
        <w:tc>
          <w:tcPr>
            <w:tcW w:w="1134" w:type="dxa"/>
            <w:noWrap w:val="0"/>
            <w:vAlign w:val="center"/>
          </w:tcPr>
          <w:p w14:paraId="1A58FD7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340853F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98D75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231B7A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1CEC809F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B61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 w14:paraId="676BB90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541" w:type="dxa"/>
            <w:noWrap w:val="0"/>
            <w:vAlign w:val="center"/>
          </w:tcPr>
          <w:p w14:paraId="57B0EE4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成本费用利润率</w:t>
            </w:r>
          </w:p>
        </w:tc>
        <w:tc>
          <w:tcPr>
            <w:tcW w:w="1134" w:type="dxa"/>
            <w:noWrap w:val="0"/>
            <w:vAlign w:val="center"/>
          </w:tcPr>
          <w:p w14:paraId="2BDAD2B0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 w14:paraId="560AEBB5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9753B3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D166B2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78715216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B62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4503" w:type="dxa"/>
            <w:gridSpan w:val="3"/>
            <w:noWrap w:val="0"/>
            <w:vAlign w:val="top"/>
          </w:tcPr>
          <w:p w14:paraId="09DE14DF"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推荐单位意见</w:t>
            </w:r>
            <w:r>
              <w:rPr>
                <w:rFonts w:hint="eastAsia" w:eastAsia="仿宋_GB2312"/>
                <w:sz w:val="24"/>
                <w:lang w:eastAsia="zh-CN"/>
              </w:rPr>
              <w:t>［</w:t>
            </w:r>
            <w:r>
              <w:rPr>
                <w:rFonts w:hint="eastAsia" w:eastAsia="仿宋_GB2312"/>
                <w:sz w:val="24"/>
              </w:rPr>
              <w:t>各县(市、区)协会</w:t>
            </w:r>
            <w:r>
              <w:rPr>
                <w:rFonts w:hint="eastAsia" w:eastAsia="仿宋_GB2312"/>
                <w:sz w:val="24"/>
                <w:lang w:eastAsia="zh-CN"/>
              </w:rPr>
              <w:t>］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：</w:t>
            </w:r>
          </w:p>
          <w:p w14:paraId="03F88D77">
            <w:pPr>
              <w:spacing w:line="480" w:lineRule="auto"/>
              <w:rPr>
                <w:rFonts w:hint="eastAsia" w:eastAsia="仿宋_GB2312"/>
                <w:sz w:val="24"/>
              </w:rPr>
            </w:pPr>
          </w:p>
          <w:p w14:paraId="5FB266B7">
            <w:pPr>
              <w:spacing w:line="480" w:lineRule="auto"/>
              <w:ind w:firstLine="3120" w:firstLineChars="1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签章</w:t>
            </w:r>
          </w:p>
          <w:p w14:paraId="50AC2E58">
            <w:pPr>
              <w:spacing w:line="480" w:lineRule="auto"/>
              <w:ind w:firstLine="2760" w:firstLineChars="11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年  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日</w:t>
            </w:r>
          </w:p>
        </w:tc>
        <w:tc>
          <w:tcPr>
            <w:tcW w:w="4819" w:type="dxa"/>
            <w:gridSpan w:val="3"/>
            <w:noWrap w:val="0"/>
            <w:vAlign w:val="top"/>
          </w:tcPr>
          <w:p w14:paraId="04F245D6"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数据确认部门意见（主管部门或财税部门）：</w:t>
            </w:r>
          </w:p>
          <w:p w14:paraId="6F0CC7AF">
            <w:pPr>
              <w:spacing w:line="480" w:lineRule="auto"/>
              <w:rPr>
                <w:rFonts w:hint="eastAsia" w:eastAsia="仿宋_GB2312"/>
                <w:sz w:val="24"/>
              </w:rPr>
            </w:pPr>
          </w:p>
          <w:p w14:paraId="123F2271">
            <w:pPr>
              <w:tabs>
                <w:tab w:val="left" w:pos="309"/>
              </w:tabs>
              <w:spacing w:line="480" w:lineRule="auto"/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            签章</w:t>
            </w:r>
          </w:p>
          <w:p w14:paraId="428B57EB"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年  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 w14:paraId="11B9C944">
            <w:pPr>
              <w:rPr>
                <w:rFonts w:hint="eastAsia" w:eastAsia="仿宋_GB2312"/>
                <w:sz w:val="24"/>
              </w:rPr>
            </w:pPr>
          </w:p>
        </w:tc>
      </w:tr>
    </w:tbl>
    <w:p w14:paraId="25DDCA93"/>
    <w:sectPr>
      <w:pgSz w:w="16838" w:h="11906" w:orient="landscape"/>
      <w:pgMar w:top="703" w:right="1531" w:bottom="70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4CF64822"/>
    <w:rsid w:val="4CF64822"/>
    <w:rsid w:val="62185210"/>
    <w:rsid w:val="658214B4"/>
    <w:rsid w:val="79C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441</Characters>
  <Lines>0</Lines>
  <Paragraphs>0</Paragraphs>
  <TotalTime>0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2023-12-08T03:47:00Z</dcterms:created>
  <dc:creator>Administrator</dc:creator>
  <cp:lastModifiedBy>韩花花花</cp:lastModifiedBy>
  <cp:lastPrinted>2023-12-12T03:06:00Z</cp:lastPrinted>
  <dcterms:modified xsi:type="dcterms:W3CDTF">2024-12-18T07:21:24Z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CADA51D935EE452AAE5468AED88CA731_11</vt:lpwstr>
  </property>
</Properties>
</file>